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15000" w:type="dxa"/>
        <w:tblInd w:w="150" w:type="dxa"/>
        <w:tblBorders>
          <w:top w:val="none" w:color="7E8794" w:sz="4" w:space="0"/>
          <w:left w:val="none" w:color="7E8794" w:sz="4" w:space="0"/>
          <w:bottom w:val="none" w:color="7E8794" w:sz="4" w:space="0"/>
          <w:right w:val="none" w:color="7E8794" w:sz="4" w:space="0"/>
          <w:insideH w:val="none" w:color="7E8794" w:sz="4" w:space="0"/>
          <w:insideV w:val="none" w:color="7E879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12650"/>
      </w:tblGrid>
      <w:tr w14:paraId="55421175">
        <w:tblPrEx>
          <w:tblBorders>
            <w:top w:val="none" w:color="7E8794" w:sz="4" w:space="0"/>
            <w:left w:val="none" w:color="7E8794" w:sz="4" w:space="0"/>
            <w:bottom w:val="none" w:color="7E8794" w:sz="4" w:space="0"/>
            <w:right w:val="none" w:color="7E8794" w:sz="4" w:space="0"/>
            <w:insideH w:val="none" w:color="7E8794" w:sz="4" w:space="0"/>
            <w:insideV w:val="none" w:color="7E879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50" w:type="dxa"/>
            <w:shd w:val="clear" w:color="auto" w:fill="28599A"/>
            <w:tcMar>
              <w:top w:w="80" w:type="dxa"/>
              <w:left w:w="150" w:type="dxa"/>
              <w:bottom w:w="70" w:type="dxa"/>
              <w:right w:w="150" w:type="dxa"/>
            </w:tcMar>
            <w:vAlign w:val="center"/>
          </w:tcPr>
          <w:p w14:paraId="2C6B793F">
            <w:pPr>
              <w:jc w:val="center"/>
            </w:pPr>
            <w:r>
              <w:rPr>
                <w:rFonts w:ascii="Arial" w:hAnsi="Arial" w:eastAsia="Noto Sans CJK SC"/>
                <w:b/>
                <w:i w:val="0"/>
                <w:color w:val="FFFFFF"/>
                <w:sz w:val="18"/>
              </w:rPr>
              <w:t>NEW 02</w:t>
            </w:r>
          </w:p>
        </w:tc>
        <w:tc>
          <w:tcPr>
            <w:tcW w:w="12650" w:type="dxa"/>
            <w:shd w:val="clear" w:color="auto" w:fill="28599A"/>
            <w:tcMar>
              <w:top w:w="80" w:type="dxa"/>
              <w:left w:w="150" w:type="dxa"/>
              <w:bottom w:w="70" w:type="dxa"/>
              <w:right w:w="150" w:type="dxa"/>
            </w:tcMar>
            <w:vAlign w:val="center"/>
          </w:tcPr>
          <w:p w14:paraId="1D31C067">
            <w:pPr>
              <w:spacing w:before="0" w:after="0"/>
            </w:pPr>
            <w:r>
              <w:rPr>
                <w:rFonts w:ascii="Arial" w:hAnsi="Arial" w:eastAsia="Noto Sans CJK SC"/>
                <w:b/>
                <w:i w:val="0"/>
                <w:color w:val="FFFFFF"/>
                <w:sz w:val="35"/>
              </w:rPr>
              <w:t>护栏式全不锈钢旋转升降拖猪车</w:t>
            </w:r>
            <w:r>
              <w:rPr>
                <w:rFonts w:ascii="Arial" w:hAnsi="Arial" w:eastAsia="Noto Sans CJK SC"/>
                <w:b/>
                <w:i w:val="0"/>
                <w:color w:val="FFFFFF"/>
                <w:sz w:val="35"/>
              </w:rPr>
              <w:br w:type="textWrapping"/>
            </w:r>
            <w:r>
              <w:rPr>
                <w:rFonts w:ascii="Arial" w:hAnsi="Arial" w:eastAsia="Noto Sans CJK SC"/>
                <w:b w:val="0"/>
                <w:i w:val="0"/>
                <w:color w:val="FFFFFF"/>
                <w:sz w:val="18"/>
              </w:rPr>
              <w:t>Guardrail Stainless-Steel Rotating &amp; Lifting Pig Trailer</w:t>
            </w:r>
          </w:p>
        </w:tc>
      </w:tr>
    </w:tbl>
    <w:p w14:paraId="4AACE5FE">
      <w:pPr>
        <w:spacing w:after="40"/>
      </w:pPr>
    </w:p>
    <w:tbl>
      <w:tblPr>
        <w:tblStyle w:val="32"/>
        <w:tblW w:w="15000" w:type="dxa"/>
        <w:tblInd w:w="80" w:type="dxa"/>
        <w:tblBorders>
          <w:top w:val="none" w:color="7E8794" w:sz="4" w:space="0"/>
          <w:left w:val="none" w:color="7E8794" w:sz="4" w:space="0"/>
          <w:bottom w:val="none" w:color="7E8794" w:sz="4" w:space="0"/>
          <w:right w:val="none" w:color="7E8794" w:sz="4" w:space="0"/>
          <w:insideH w:val="none" w:color="7E8794" w:sz="4" w:space="0"/>
          <w:insideV w:val="none" w:color="7E879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0"/>
        <w:gridCol w:w="8300"/>
      </w:tblGrid>
      <w:tr w14:paraId="6B5DFC4D">
        <w:tblPrEx>
          <w:tblBorders>
            <w:top w:val="none" w:color="7E8794" w:sz="4" w:space="0"/>
            <w:left w:val="none" w:color="7E8794" w:sz="4" w:space="0"/>
            <w:bottom w:val="none" w:color="7E8794" w:sz="4" w:space="0"/>
            <w:right w:val="none" w:color="7E8794" w:sz="4" w:space="0"/>
            <w:insideH w:val="none" w:color="7E8794" w:sz="4" w:space="0"/>
            <w:insideV w:val="none" w:color="7E879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6" w:hRule="atLeast"/>
        </w:trPr>
        <w:tc>
          <w:tcPr>
            <w:tcW w:w="6700" w:type="dxa"/>
            <w:tcMar>
              <w:top w:w="10" w:type="dxa"/>
              <w:left w:w="80" w:type="dxa"/>
              <w:bottom w:w="10" w:type="dxa"/>
              <w:right w:w="80" w:type="dxa"/>
            </w:tcMar>
            <w:vAlign w:val="top"/>
          </w:tcPr>
          <w:p w14:paraId="1C3F8040"/>
          <w:tbl>
            <w:tblPr>
              <w:tblStyle w:val="32"/>
              <w:tblW w:w="6700" w:type="dxa"/>
              <w:tblInd w:w="20" w:type="dxa"/>
              <w:tblBorders>
                <w:top w:val="none" w:color="7E8794" w:sz="4" w:space="0"/>
                <w:left w:val="none" w:color="7E8794" w:sz="4" w:space="0"/>
                <w:bottom w:val="none" w:color="7E8794" w:sz="4" w:space="0"/>
                <w:right w:val="none" w:color="7E8794" w:sz="4" w:space="0"/>
                <w:insideH w:val="none" w:color="7E8794" w:sz="4" w:space="0"/>
                <w:insideV w:val="non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350"/>
              <w:gridCol w:w="3350"/>
            </w:tblGrid>
            <w:tr w14:paraId="189C7D93">
              <w:tblPrEx>
                <w:tblBorders>
                  <w:top w:val="none" w:color="7E8794" w:sz="4" w:space="0"/>
                  <w:left w:val="none" w:color="7E8794" w:sz="4" w:space="0"/>
                  <w:bottom w:val="none" w:color="7E8794" w:sz="4" w:space="0"/>
                  <w:right w:val="none" w:color="7E8794" w:sz="4" w:space="0"/>
                  <w:insideH w:val="none" w:color="7E8794" w:sz="4" w:space="0"/>
                  <w:insideV w:val="non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3350" w:type="dxa"/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</w:tcPr>
                <w:p w14:paraId="5E822C26">
                  <w:pPr>
                    <w:spacing w:before="0" w:after="0"/>
                    <w:jc w:val="center"/>
                  </w:pPr>
                </w:p>
                <w:p w14:paraId="309D8209">
                  <w:pPr>
                    <w:spacing w:before="0" w:after="0"/>
                    <w:jc w:val="center"/>
                  </w:pPr>
                  <w:r>
                    <w:drawing>
                      <wp:inline distT="0" distB="0" distL="114300" distR="114300">
                        <wp:extent cx="2098675" cy="2607310"/>
                        <wp:effectExtent l="0" t="0" r="15875" b="2540"/>
                        <wp:docPr id="7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rcRect l="-303" t="2028" r="303" b="54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8675" cy="26073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50" w:type="dxa"/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</w:tcPr>
                <w:p w14:paraId="2E5BD5C5">
                  <w:pPr>
                    <w:spacing w:before="0" w:after="0"/>
                    <w:jc w:val="center"/>
                  </w:pPr>
                  <w:r>
                    <w:drawing>
                      <wp:inline distT="0" distB="0" distL="114300" distR="114300">
                        <wp:extent cx="2101850" cy="2610485"/>
                        <wp:effectExtent l="0" t="0" r="12700" b="18415"/>
                        <wp:docPr id="9" name="图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1850" cy="26104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AA46D9"/>
          <w:p w14:paraId="13D26298">
            <w:pPr>
              <w:spacing w:before="60" w:after="40"/>
            </w:pPr>
            <w:r>
              <w:rPr>
                <w:rFonts w:ascii="Arial" w:hAnsi="Arial" w:eastAsia="Noto Sans CJK SC"/>
                <w:b/>
                <w:i w:val="0"/>
                <w:color w:val="28599A"/>
                <w:sz w:val="17"/>
              </w:rPr>
              <w:t xml:space="preserve">产品介绍  </w:t>
            </w:r>
            <w:r>
              <w:rPr>
                <w:rFonts w:ascii="Arial" w:hAnsi="Arial" w:eastAsia="Noto Sans CJK SC"/>
                <w:b/>
                <w:i w:val="0"/>
                <w:color w:val="28599A"/>
                <w:sz w:val="13"/>
              </w:rPr>
              <w:t>PRODUCT OVERVIEW</w:t>
            </w:r>
          </w:p>
          <w:p w14:paraId="41398610">
            <w:pPr>
              <w:spacing w:before="0" w:after="80" w:line="226" w:lineRule="auto"/>
              <w:rPr>
                <w:i w:val="0"/>
                <w:iCs w:val="0"/>
                <w:sz w:val="15"/>
                <w:szCs w:val="15"/>
              </w:rPr>
            </w:pPr>
            <w:r>
              <w:rPr>
                <w:rFonts w:ascii="Arial" w:hAnsi="Arial" w:eastAsia="Noto Sans CJK SC"/>
                <w:b w:val="0"/>
                <w:i w:val="0"/>
                <w:iCs w:val="0"/>
                <w:color w:val="20242A"/>
                <w:sz w:val="15"/>
                <w:szCs w:val="15"/>
              </w:rPr>
              <w:t>在全不锈钢旋转升降底盘基础上增加双侧护栏和宽幅承载滑板，为装载、提升及移动过程提供更清晰的导向与侧向防护。大直径驱动轮配合前端万向轮，兼顾承载稳定性与转向灵活性，适用于规模化猪场的日常转运及清洁消毒环境。</w:t>
            </w:r>
            <w:r>
              <w:rPr>
                <w:rFonts w:ascii="Arial" w:hAnsi="Arial" w:eastAsia="Noto Sans CJK SC"/>
                <w:b w:val="0"/>
                <w:i w:val="0"/>
                <w:iCs w:val="0"/>
                <w:color w:val="20242A"/>
                <w:sz w:val="15"/>
                <w:szCs w:val="15"/>
              </w:rPr>
              <w:br w:type="textWrapping"/>
            </w:r>
            <w:r>
              <w:rPr>
                <w:rFonts w:ascii="Arial" w:hAnsi="Arial" w:eastAsia="Noto Sans CJK SC"/>
                <w:b w:val="0"/>
                <w:i w:val="0"/>
                <w:iCs w:val="0"/>
                <w:color w:val="667085"/>
                <w:sz w:val="15"/>
                <w:szCs w:val="15"/>
              </w:rPr>
              <w:t>Built on an all-stainless-steel rotating and lifting chassis, this version adds full-length side guardrails and a wide loading deck for improved guidance and lateral containment during loading, lifting and transport. Large drive wheels and a front swivel caster balance stability with maneuverability, making the unit suitable for routine transfer work on commercial pig farms.</w:t>
            </w:r>
          </w:p>
          <w:tbl>
            <w:tblPr>
              <w:tblStyle w:val="32"/>
              <w:tblW w:w="6700" w:type="dxa"/>
              <w:tblInd w:w="55" w:type="dxa"/>
              <w:tblBorders>
                <w:top w:val="single" w:color="7E8794" w:sz="4" w:space="0"/>
                <w:left w:val="single" w:color="7E8794" w:sz="4" w:space="0"/>
                <w:bottom w:val="single" w:color="7E8794" w:sz="4" w:space="0"/>
                <w:right w:val="single" w:color="7E8794" w:sz="4" w:space="0"/>
                <w:insideH w:val="single" w:color="7E8794" w:sz="4" w:space="0"/>
                <w:insideV w:val="singl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0"/>
              <w:gridCol w:w="5150"/>
            </w:tblGrid>
            <w:tr w14:paraId="59B43968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02A0363D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整车材质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Material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70496FA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全304不锈钢结构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All-304 stainless-steel construction</w:t>
                  </w:r>
                </w:p>
              </w:tc>
            </w:tr>
            <w:tr w14:paraId="6D70DCC9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794A2F8C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外形尺寸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Dimensions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68F70B80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hint="eastAsia"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长90cm、宽60cm、高度倾斜可调95cm-135cm</w:t>
                  </w:r>
                  <w:r>
                    <w:rPr>
                      <w:rFonts w:hint="eastAsia"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hint="default" w:ascii="Arial" w:hAnsi="Arial" w:eastAsia="宋体" w:cs="Arial"/>
                      <w:i w:val="0"/>
                      <w:iCs w:val="0"/>
                      <w:sz w:val="15"/>
                      <w:szCs w:val="15"/>
                    </w:rPr>
                    <w:t>Length: 90 cm, Width: 60 cm, Inclined height adjustable from 95 cm to 135 cm</w:t>
                  </w:r>
                </w:p>
              </w:tc>
            </w:tr>
            <w:tr w14:paraId="2D124097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7" w:hRule="atLeast"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5963B99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结构特点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Structure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9FFC3FF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宽幅滑板、双侧护栏、旋转升降底盘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Wide deck, dual side guardrails and rotating lifting chassis</w:t>
                  </w:r>
                </w:p>
              </w:tc>
            </w:tr>
            <w:tr w14:paraId="0113FDFE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15" w:hRule="atLeast"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25FD56BA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适用场景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Applications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658390E9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规模猪场、栏位转运、病死猪无害化转运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Commercial pig farms, pen-side transfer and mortality handling</w:t>
                  </w:r>
                </w:p>
              </w:tc>
            </w:tr>
          </w:tbl>
          <w:p w14:paraId="06980A77"/>
        </w:tc>
        <w:tc>
          <w:tcPr>
            <w:tcW w:w="8300" w:type="dxa"/>
            <w:tcMar>
              <w:top w:w="10" w:type="dxa"/>
              <w:left w:w="80" w:type="dxa"/>
              <w:bottom w:w="10" w:type="dxa"/>
              <w:right w:w="80" w:type="dxa"/>
            </w:tcMar>
            <w:vAlign w:val="top"/>
          </w:tcPr>
          <w:p w14:paraId="16EE5985"/>
          <w:tbl>
            <w:tblPr>
              <w:tblStyle w:val="32"/>
              <w:tblW w:w="8300" w:type="dxa"/>
              <w:tblInd w:w="52" w:type="dxa"/>
              <w:tblBorders>
                <w:top w:val="single" w:color="7E8794" w:sz="4" w:space="0"/>
                <w:left w:val="single" w:color="7E8794" w:sz="4" w:space="0"/>
                <w:bottom w:val="single" w:color="7E8794" w:sz="4" w:space="0"/>
                <w:right w:val="single" w:color="7E8794" w:sz="4" w:space="0"/>
                <w:insideH w:val="single" w:color="7E8794" w:sz="4" w:space="0"/>
                <w:insideV w:val="singl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00"/>
              <w:gridCol w:w="6200"/>
            </w:tblGrid>
            <w:tr w14:paraId="44DBA3E9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32D51B0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拖猪方式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Loading directions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E69AF7F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左侧、右侧、正前方均可对接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Can be approached from the left, right, or straight ahead.</w:t>
                  </w:r>
                </w:p>
              </w:tc>
            </w:tr>
            <w:tr w14:paraId="510811ED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19099C1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产品特点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Key functions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9775171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电动行走、电动提升、电动仰俯、轻便旋转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Powered travel, powered lifting, powered tilt, and easy manual rotation.</w:t>
                  </w:r>
                </w:p>
              </w:tc>
            </w:tr>
            <w:tr w14:paraId="3829B9F1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5432BA5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电池箱规格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Battery box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D3679B2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201不锈钢电池箱，约33.5×19×24cm，底板厚1mm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201 stainless-steel battery box, approx. 33.5 × 19 × 24 cm, with a 1 mm base plate.</w:t>
                  </w:r>
                </w:p>
              </w:tc>
            </w:tr>
            <w:tr w14:paraId="6CD62808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F19AA90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钢丝绳规格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Wire rope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8C2A2CF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304不锈钢，长10m，直径6mm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304 stainless-steel wire rope, 10 m long, Ø6 mm.</w:t>
                  </w:r>
                </w:p>
              </w:tc>
            </w:tr>
            <w:tr w14:paraId="33CE1A35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D7F52EE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前轮规格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Front wheels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0D6DD61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400-6充气轮，直径约330mm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400-6 pneumatic wheels, approx. Ø330 mm.</w:t>
                  </w:r>
                </w:p>
              </w:tc>
            </w:tr>
            <w:tr w14:paraId="5697861B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52E7883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后轮规格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Rear wheel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154FABC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350-4实心万向轮，直径约250mm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350-4 solid swivel caster, approx. Ø250 mm.</w:t>
                  </w:r>
                </w:p>
              </w:tc>
            </w:tr>
            <w:tr w14:paraId="66174F88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A0F0E62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电池规格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Battery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F18CAC0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4块12V 20Ah全新铅酸蓄电池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Four new 12 V 20 Ah lead-acid batteries.</w:t>
                  </w:r>
                </w:p>
              </w:tc>
            </w:tr>
            <w:tr w14:paraId="68F4E142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284753E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充电器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Charger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B4D5D43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48V 20A充电器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48 V 20 A charger.</w:t>
                  </w:r>
                </w:p>
              </w:tc>
            </w:tr>
            <w:tr w14:paraId="4F128835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66EE55B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持续工作时间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Operating time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2C8F865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持续使用6小时以上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More than 6 hours of continuous operation.</w:t>
                  </w:r>
                </w:p>
              </w:tc>
            </w:tr>
            <w:tr w14:paraId="2B72E717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908A7C2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行走系统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Travel system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582AE4D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最大功率1000W，防水等级IP54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Maximum power: 1000 W; ingress protection: IP54.</w:t>
                  </w:r>
                </w:p>
              </w:tc>
            </w:tr>
            <w:tr w14:paraId="0A3550FC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1BD209D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提升系统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Lifting system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28092C8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功率1000W，垂直拉力800kg，防水等级IP67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Power: 1000 W; vertical pulling force: 800 kgf; ingress protection: IP67.</w:t>
                  </w:r>
                </w:p>
              </w:tc>
            </w:tr>
            <w:tr w14:paraId="53853FF9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C419594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仰俯系统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Tilting system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645EDF0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48V电动推杆，最大推力700kg，防水等级IP56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48 V linear actuator; maximum thrust: 700 kgf; ingress protection: IP56.</w:t>
                  </w:r>
                </w:p>
              </w:tc>
            </w:tr>
            <w:tr w14:paraId="3DDC3FEC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86A48B5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控制系统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Control system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78E87B6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急停、电源、提升、仰俯开关及电量显示表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Emergency stop, master power, lift and tilt switches, plus a battery level indicator.</w:t>
                  </w:r>
                </w:p>
              </w:tc>
            </w:tr>
            <w:tr w14:paraId="0962E7BC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8587E83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操控方式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Driving controls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B702234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左侧刹车把手控制旋转定位销；右侧转把控制行走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The left brake lever operates the rotary locking pin; the right twist throttle controls travel.</w:t>
                  </w:r>
                </w:p>
              </w:tc>
            </w:tr>
            <w:tr w14:paraId="23EB72C2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3E8ECF6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行走速度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Travel speed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8360412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前进最高5km/h，倒车最高3km/h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Forward speed up to 5 km/h; reverse speed up to 3 km/h.</w:t>
                  </w:r>
                </w:p>
              </w:tc>
            </w:tr>
            <w:tr w14:paraId="120B5909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79603DB">
                  <w:pPr>
                    <w:spacing w:before="0" w:after="0" w:line="228" w:lineRule="auto"/>
                    <w:jc w:val="center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整车防护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Overall protection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E86CA96">
                  <w:pPr>
                    <w:spacing w:before="0" w:after="0" w:line="228" w:lineRule="auto"/>
                    <w:jc w:val="left"/>
                    <w:rPr>
                      <w:i w:val="0"/>
                      <w:iCs w:val="0"/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整车IP54，可防雨淋和喷洒消毒液，禁止浸泡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Overall IP54 protection. Suitable for rain exposure and disinfectant spraying; do not immerse.</w:t>
                  </w:r>
                </w:p>
              </w:tc>
            </w:tr>
          </w:tbl>
          <w:p w14:paraId="4473DC6E"/>
        </w:tc>
      </w:tr>
    </w:tbl>
    <w:p w14:paraId="16F56E9C">
      <w:bookmarkStart w:id="0" w:name="_GoBack"/>
      <w:bookmarkEnd w:id="0"/>
    </w:p>
    <w:sectPr>
      <w:footerReference r:id="rId5" w:type="default"/>
      <w:pgSz w:w="16834" w:h="11909" w:orient="landscape"/>
      <w:pgMar w:top="850" w:right="576" w:bottom="0" w:left="576" w:header="230" w:footer="23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2A55E">
    <w:pPr>
      <w:pStyle w:val="24"/>
      <w:jc w:val="center"/>
    </w:pPr>
    <w:r>
      <w:rPr>
        <w:rFonts w:ascii="Arial" w:hAnsi="Arial" w:eastAsia="Noto Sans CJK SC"/>
        <w:b w:val="0"/>
        <w:i w:val="0"/>
        <w:color w:val="667085"/>
        <w:sz w:val="12"/>
      </w:rPr>
      <w:t xml:space="preserve">SHEWUYOU · PRODUCT INFORMATION  |  </w:t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fldChar w:fldCharType="begin"/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instrText xml:space="preserve"> HYPERLINK "http://www.shewuyou.net" </w:instrText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fldChar w:fldCharType="separate"/>
    </w:r>
    <w:r>
      <w:rPr>
        <w:rStyle w:val="135"/>
        <w:rFonts w:hint="eastAsia" w:eastAsia="宋体"/>
        <w:b w:val="0"/>
        <w:i w:val="0"/>
        <w:sz w:val="12"/>
        <w:lang w:val="en-US" w:eastAsia="zh-CN"/>
      </w:rPr>
      <w:t>www.shewuyou.net</w:t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fldChar w:fldCharType="end"/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t xml:space="preserve">  TEL/ WhatsApp: +86 136 9923 2399  </w:t>
    </w:r>
    <w:r>
      <w:rPr>
        <w:rFonts w:ascii="Arial" w:hAnsi="Arial" w:eastAsia="Noto Sans CJK SC"/>
        <w:b w:val="0"/>
        <w:i w:val="0"/>
        <w:color w:val="667085"/>
        <w:sz w:val="12"/>
      </w:rPr>
      <w:t>产品资料确认稿 / DRAFT  |  灰色参数按参考配置，报价前确认 / Confirm gray data before quotation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3AD04D2"/>
    <w:rsid w:val="1A78055F"/>
    <w:rsid w:val="34F605A6"/>
    <w:rsid w:val="3A486C36"/>
    <w:rsid w:val="4CBD4876"/>
    <w:rsid w:val="6443458E"/>
    <w:rsid w:val="65B71E5C"/>
    <w:rsid w:val="711F4406"/>
    <w:rsid w:val="74C3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Arial" w:hAnsi="Arial" w:eastAsia="Noto Sans CJK SC" w:cstheme="minorBidi"/>
      <w:sz w:val="16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769</Words>
  <Characters>2220</Characters>
  <Lines>0</Lines>
  <Paragraphs>0</Paragraphs>
  <TotalTime>1</TotalTime>
  <ScaleCrop>false</ScaleCrop>
  <LinksUpToDate>false</LinksUpToDate>
  <CharactersWithSpaces>2475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SHEWUYOU</dc:creator>
  <dc:description>generated by python-docx</dc:description>
  <cp:keywords>pig trailer, rotating lifting trailer, livestock equipment</cp:keywords>
  <cp:lastModifiedBy>qc525</cp:lastModifiedBy>
  <dcterms:modified xsi:type="dcterms:W3CDTF">2026-09-08T07:37:28Z</dcterms:modified>
  <dc:subject>Bilingual product information sheets</dc:subject>
  <dc:title>旋转升降拖猪车 - 两款新品产品介绍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1260D50D3CDD40DF99DE437BECA4F862_13</vt:lpwstr>
  </property>
  <property fmtid="{D5CDD505-2E9C-101B-9397-08002B2CF9AE}" pid="4" name="KSOTemplateDocerSaveRecord">
    <vt:lpwstr>eyJoZGlkIjoiZDM0M2M5MjBlN2UwY2E2NTE2NTA2OWE5NDNjMDk5NDUiLCJ1c2VySWQiOiIxNDY4MjM0OSJ9</vt:lpwstr>
  </property>
</Properties>
</file>